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东北【2025东北大满贯】双飞12日行程单</w:t>
      </w:r>
    </w:p>
    <w:p>
      <w:pPr>
        <w:jc w:val="center"/>
        <w:spacing w:after="100"/>
      </w:pPr>
      <w:r>
        <w:rPr>
          <w:rFonts w:ascii="微软雅黑" w:hAnsi="微软雅黑" w:eastAsia="微软雅黑" w:cs="微软雅黑"/>
          <w:sz w:val="20"/>
          <w:szCs w:val="20"/>
        </w:rPr>
        <w:t xml:space="preserve">2025【东北大满贯】双飞12日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2025-05-31T05:50:54+08:00</dcterms:created>
  <dcterms:modified xsi:type="dcterms:W3CDTF">2025-05-31T05:50:54+08:00</dcterms:modified>
</cp:coreProperties>
</file>

<file path=docProps/custom.xml><?xml version="1.0" encoding="utf-8"?>
<Properties xmlns="http://schemas.openxmlformats.org/officeDocument/2006/custom-properties" xmlns:vt="http://schemas.openxmlformats.org/officeDocument/2006/docPropsVTypes"/>
</file>